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Calibri" w:cs="Calibri" w:eastAsia="Calibri" w:hAnsi="Calibri"/>
          <w:b/>
          <w:bCs/>
          <w:color w:val="9A7B2C"/>
          <w:spacing w:val="40"/>
          <w:sz w:val="18"/>
          <w:szCs w:val="18"/>
        </w:rPr>
        <w:t xml:space="preserve">EMBASSY INTRANET</w:t>
      </w:r>
    </w:p>
    <w:p>
      <w:pPr>
        <w:spacing w:after="60" w:before="0" w:line="260"/>
      </w:pPr>
      <w:r>
        <w:rPr>
          <w:rFonts w:ascii="Calibri" w:cs="Calibri" w:eastAsia="Calibri" w:hAnsi="Calibri"/>
          <w:b/>
          <w:bCs/>
          <w:color w:val="0F1F3A"/>
          <w:sz w:val="40"/>
          <w:szCs w:val="40"/>
        </w:rPr>
        <w:t xml:space="preserve">Buy or build?</w:t>
      </w:r>
    </w:p>
    <w:p>
      <w:pPr>
        <w:spacing w:after="240" w:before="0" w:line="300"/>
      </w:pPr>
      <w:r>
        <w:rPr>
          <w:rFonts w:ascii="Calibri" w:cs="Calibri" w:eastAsia="Calibri" w:hAnsi="Calibri"/>
          <w:i/>
          <w:iCs/>
          <w:color w:val="4B5563"/>
          <w:sz w:val="22"/>
          <w:szCs w:val="22"/>
        </w:rPr>
        <w:t xml:space="preserve">A one-page decision for the chair, before code is written.</w:t>
      </w:r>
    </w:p>
    <w:p>
      <w:pPr>
        <w:spacing w:after="120" w:before="320" w:line="280"/>
      </w:pPr>
      <w:r>
        <w:rPr>
          <w:rFonts w:ascii="Calibri" w:cs="Calibri" w:eastAsia="Calibri" w:hAnsi="Calibri"/>
          <w:b/>
          <w:bCs/>
          <w:color w:val="0F1F3A"/>
          <w:sz w:val="26"/>
          <w:szCs w:val="26"/>
        </w:rPr>
        <w:t xml:space="preserve">The question</w:t>
      </w:r>
    </w:p>
    <w:p>
      <w:pPr>
        <w:spacing w:after="12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The Build Spec (September 2026) proposes we build a Board Portal for the Pastors, Elders, Deacons and Ministers Board as the first room of an ECCI intranet. The independent Design Review, delivered by six reviewers on 3 September, agrees on the model but reverses the build strategy. Before any code is written, one decision must be made: </w:t>
      </w: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2"/>
          <w:szCs w:val="22"/>
        </w:rPr>
        <w:t xml:space="preserve">do we build the board portal, or do we buy it?</w:t>
      </w:r>
    </w:p>
    <w:p>
      <w:pPr>
        <w:spacing w:after="120" w:before="320" w:line="280"/>
      </w:pPr>
      <w:r>
        <w:rPr>
          <w:rFonts w:ascii="Calibri" w:cs="Calibri" w:eastAsia="Calibri" w:hAnsi="Calibri"/>
          <w:b/>
          <w:bCs/>
          <w:color w:val="0F1F3A"/>
          <w:sz w:val="26"/>
          <w:szCs w:val="26"/>
        </w:rPr>
        <w:t xml:space="preserve">What the Build Spec proposed</w:t>
      </w:r>
    </w:p>
    <w:p>
      <w:pPr>
        <w:pStyle w:val="ListParagraph"/>
        <w:numPr>
          <w:ilvl w:val="0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Custom-build a protected /intranet inside the existing Embassy website.</w:t>
      </w:r>
    </w:p>
    <w:p>
      <w:pPr>
        <w:pStyle w:val="ListParagraph"/>
        <w:numPr>
          <w:ilvl w:val="0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Build the board room as room one: packet publishing with a 72-hour deadline, minutes lifecycle (draft, approved, locked), disposition log, quorum calculator, motion recorder, attendance, and a one-click annual archive.</w:t>
      </w:r>
    </w:p>
    <w:p>
      <w:pPr>
        <w:pStyle w:val="ListParagraph"/>
        <w:numPr>
          <w:ilvl w:val="0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Three tiers of work, spanning several months of part-time development by one person.</w:t>
      </w:r>
    </w:p>
    <w:p>
      <w:pPr>
        <w:spacing w:after="120" w:before="320" w:line="280"/>
      </w:pPr>
      <w:r>
        <w:rPr>
          <w:rFonts w:ascii="Calibri" w:cs="Calibri" w:eastAsia="Calibri" w:hAnsi="Calibri"/>
          <w:b/>
          <w:bCs/>
          <w:color w:val="0F1F3A"/>
          <w:sz w:val="26"/>
          <w:szCs w:val="26"/>
        </w:rPr>
        <w:t xml:space="preserve">What the Design Review concluded</w:t>
      </w:r>
    </w:p>
    <w:p>
      <w:pPr>
        <w:spacing w:after="80" w:line="300"/>
      </w:pP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2"/>
          <w:szCs w:val="22"/>
        </w:rPr>
        <w:t xml:space="preserve">The model</w:t>
      </w:r>
      <w:r>
        <w:rPr>
          <w:rFonts w:ascii="Calibri" w:cs="Calibri" w:eastAsia="Calibri" w:hAnsi="Calibri"/>
          <w:color w:val="111827"/>
          <w:sz w:val="22"/>
          <w:szCs w:val="22"/>
        </w:rPr>
        <w:t xml:space="preserve"> (rooms, roles, seats, hybrid governance) is right.</w:t>
      </w:r>
    </w:p>
    <w:p>
      <w:pPr>
        <w:spacing w:after="80" w:line="300"/>
      </w:pP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2"/>
          <w:szCs w:val="22"/>
        </w:rPr>
        <w:t xml:space="preserve">The shell</w:t>
      </w:r>
      <w:r>
        <w:rPr>
          <w:rFonts w:ascii="Calibri" w:cs="Calibri" w:eastAsia="Calibri" w:hAnsi="Calibri"/>
          <w:color w:val="111827"/>
          <w:sz w:val="22"/>
          <w:szCs w:val="22"/>
        </w:rPr>
        <w:t xml:space="preserve"> is the right thing to build in house. It is thin, specific to ECCI's campus and team structure, and no product fits it well at our size.</w:t>
      </w:r>
    </w:p>
    <w:p>
      <w:pPr>
        <w:spacing w:after="80" w:line="300"/>
      </w:pP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2"/>
          <w:szCs w:val="22"/>
        </w:rPr>
        <w:t xml:space="preserve">The board portal itself</w:t>
      </w:r>
      <w:r>
        <w:rPr>
          <w:rFonts w:ascii="Calibri" w:cs="Calibri" w:eastAsia="Calibri" w:hAnsi="Calibri"/>
          <w:color w:val="111827"/>
          <w:sz w:val="22"/>
          <w:szCs w:val="22"/>
        </w:rPr>
        <w:t xml:space="preserve"> is the wrong custom build. Board governance is a mature, purchasable software category (Boardable, OnBoard, BoardEffect, Govenda). These products already implement, and are audited for, packet windows, acknowledgements, minutes approval and locking, quorum, terms and attendance. Custom-building them means one non-engineer owns the correctness of ECCI's statutory governance record, at a moment when her time is already stretched across three senior roles.</w:t>
      </w:r>
    </w:p>
    <w:p>
      <w:pPr>
        <w:spacing w:after="120" w:line="300"/>
      </w:pP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2"/>
          <w:szCs w:val="22"/>
        </w:rPr>
        <w:t xml:space="preserve">Credentialing</w:t>
      </w:r>
      <w:r>
        <w:rPr>
          <w:rFonts w:ascii="Calibri" w:cs="Calibri" w:eastAsia="Calibri" w:hAnsi="Calibri"/>
          <w:color w:val="111827"/>
          <w:sz w:val="22"/>
          <w:szCs w:val="22"/>
        </w:rPr>
        <w:t xml:space="preserve"> is the same category. Buy a Learning Management System (Thinkific, TalentLMS) rather than write one.</w:t>
      </w:r>
    </w:p>
    <w:p>
      <w:pPr>
        <w:spacing w:after="120" w:before="320" w:line="280"/>
      </w:pPr>
      <w:r>
        <w:rPr>
          <w:rFonts w:ascii="Calibri" w:cs="Calibri" w:eastAsia="Calibri" w:hAnsi="Calibri"/>
          <w:b/>
          <w:bCs/>
          <w:color w:val="0F1F3A"/>
          <w:sz w:val="26"/>
          <w:szCs w:val="26"/>
        </w:rPr>
        <w:t xml:space="preserve">Where the two documents agree</w:t>
      </w:r>
    </w:p>
    <w:p>
      <w:pPr>
        <w:pStyle w:val="ListParagraph"/>
        <w:numPr>
          <w:ilvl w:val="0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One protected area, one login, one role system, one look.</w:t>
      </w:r>
    </w:p>
    <w:p>
      <w:pPr>
        <w:pStyle w:val="ListParagraph"/>
        <w:numPr>
          <w:ilvl w:val="0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A small custom shell: sign-in, people and teams and roles, an effective-permissions viewer, template pages, Drive views, calendar, directory, news.</w:t>
      </w:r>
    </w:p>
    <w:p>
      <w:pPr>
        <w:pStyle w:val="ListParagraph"/>
        <w:numPr>
          <w:ilvl w:val="0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One custom feature survives every version of the plan: the Decisions log. What the board sent forward, and what happened to it. It is the piece that makes the board loop visible, and the only reason a board member returns between meetings.</w:t>
      </w:r>
    </w:p>
    <w:p>
      <w:pPr>
        <w:spacing w:after="120" w:before="320" w:line="280"/>
      </w:pPr>
      <w:r>
        <w:rPr>
          <w:rFonts w:ascii="Calibri" w:cs="Calibri" w:eastAsia="Calibri" w:hAnsi="Calibri"/>
          <w:b/>
          <w:bCs/>
          <w:color w:val="0F1F3A"/>
          <w:sz w:val="26"/>
          <w:szCs w:val="26"/>
        </w:rPr>
        <w:t xml:space="preserve">The three questions that decide the direction</w:t>
      </w:r>
    </w:p>
    <w:p>
      <w:pPr>
        <w:pStyle w:val="ListParagraph"/>
        <w:numPr>
          <w:ilvl w:val="0"/>
          <w:numId w:val="3"/>
        </w:numPr>
        <w:spacing w:after="80" w:line="300"/>
      </w:pP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2"/>
          <w:szCs w:val="22"/>
        </w:rPr>
        <w:t xml:space="preserve">What is ECCI's real annual software budget for this?</w:t>
      </w:r>
    </w:p>
    <w:p>
      <w:pPr>
        <w:pStyle w:val="ListParagraph"/>
        <w:numPr>
          <w:ilvl w:val="1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At roughly $4,000–$8,000 a year, the board portal and LMS are bought, the two hardest modules disappear from our build, and the remaining shell is genuinely maintainable by one person.</w:t>
      </w:r>
    </w:p>
    <w:p>
      <w:pPr>
        <w:pStyle w:val="ListParagraph"/>
        <w:numPr>
          <w:ilvl w:val="1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At zero, the "free" build is paid in the hours of an officer already carrying three senior roles, which is the scarcest asset in the organisation.</w:t>
      </w:r>
    </w:p>
    <w:p>
      <w:pPr>
        <w:pStyle w:val="ListParagraph"/>
        <w:numPr>
          <w:ilvl w:val="0"/>
          <w:numId w:val="3"/>
        </w:numPr>
        <w:spacing w:after="80" w:line="300"/>
      </w:pP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2"/>
          <w:szCs w:val="22"/>
        </w:rPr>
        <w:t xml:space="preserve">Who is the independent conflict route?</w:t>
      </w:r>
    </w:p>
    <w:p>
      <w:pPr>
        <w:pStyle w:val="ListParagraph"/>
        <w:numPr>
          <w:ilvl w:val="1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A named person and an alternate, adopted by board resolution, who receive reports about the apostle, an Executive Pastor, or the intranet's administrator, routed outside the intranet.</w:t>
      </w:r>
    </w:p>
    <w:p>
      <w:pPr>
        <w:pStyle w:val="ListParagraph"/>
        <w:numPr>
          <w:ilvl w:val="1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Without this in place, the observation intake will not be trusted for anything that matters, regardless of how it is built.</w:t>
      </w:r>
    </w:p>
    <w:p>
      <w:pPr>
        <w:pStyle w:val="ListParagraph"/>
        <w:numPr>
          <w:ilvl w:val="0"/>
          <w:numId w:val="3"/>
        </w:numPr>
        <w:spacing w:after="80" w:line="300"/>
      </w:pPr>
      <w:r>
        <w:rPr>
          <w:rFonts w:ascii="Calibri" w:cs="Calibri" w:eastAsia="Calibri" w:hAnsi="Calibri"/>
          <w:b/>
          <w:bCs/>
          <w:i w:val="false"/>
          <w:iCs w:val="false"/>
          <w:color w:val="111827"/>
          <w:sz w:val="22"/>
          <w:szCs w:val="22"/>
        </w:rPr>
        <w:t xml:space="preserve">Is Planning Center already in the building?</w:t>
      </w:r>
    </w:p>
    <w:p>
      <w:pPr>
        <w:pStyle w:val="ListParagraph"/>
        <w:numPr>
          <w:ilvl w:val="1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If yes, it becomes the source of truth for people and campus membership rather than a new database we maintain.</w:t>
      </w:r>
    </w:p>
    <w:p>
      <w:pPr>
        <w:spacing w:after="120" w:before="320" w:line="280"/>
      </w:pPr>
      <w:r>
        <w:rPr>
          <w:rFonts w:ascii="Calibri" w:cs="Calibri" w:eastAsia="Calibri" w:hAnsi="Calibri"/>
          <w:b/>
          <w:bCs/>
          <w:color w:val="0F1F3A"/>
          <w:sz w:val="26"/>
          <w:szCs w:val="26"/>
        </w:rPr>
        <w:t xml:space="preserve">Recommended path</w:t>
      </w:r>
    </w:p>
    <w:p>
      <w:pPr>
        <w:pStyle w:val="ListParagraph"/>
        <w:numPr>
          <w:ilvl w:val="0"/>
          <w:numId w:val="3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Answer the three questions above at the next chair briefing.</w:t>
      </w:r>
    </w:p>
    <w:p>
      <w:pPr>
        <w:pStyle w:val="ListParagraph"/>
        <w:numPr>
          <w:ilvl w:val="0"/>
          <w:numId w:val="3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If budget allows: buy the board portal, buy the LMS, build only the shell and the Decisions log.</w:t>
      </w:r>
    </w:p>
    <w:p>
      <w:pPr>
        <w:pStyle w:val="ListParagraph"/>
        <w:numPr>
          <w:ilvl w:val="0"/>
          <w:numId w:val="3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Announce nothing at the 26 September retreat. Show the map, not the door.</w:t>
      </w:r>
    </w:p>
    <w:p>
      <w:pPr>
        <w:pStyle w:val="ListParagraph"/>
        <w:numPr>
          <w:ilvl w:val="0"/>
          <w:numId w:val="3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Pilot with the PEDM Board alone in October; two clean cycles before expanding.</w:t>
      </w:r>
    </w:p>
    <w:p>
      <w:pPr>
        <w:spacing w:after="120" w:before="320" w:line="280"/>
      </w:pPr>
      <w:r>
        <w:rPr>
          <w:rFonts w:ascii="Calibri" w:cs="Calibri" w:eastAsia="Calibri" w:hAnsi="Calibri"/>
          <w:b/>
          <w:bCs/>
          <w:color w:val="0F1F3A"/>
          <w:sz w:val="26"/>
          <w:szCs w:val="26"/>
        </w:rPr>
        <w:t xml:space="preserve">What we need from the chair</w:t>
      </w:r>
    </w:p>
    <w:p>
      <w:pPr>
        <w:pStyle w:val="ListParagraph"/>
        <w:numPr>
          <w:ilvl w:val="0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A budget number, or a confirmed zero.</w:t>
      </w:r>
    </w:p>
    <w:p>
      <w:pPr>
        <w:pStyle w:val="ListParagraph"/>
        <w:numPr>
          <w:ilvl w:val="0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Two names for the independent conflict route.</w:t>
      </w:r>
    </w:p>
    <w:p>
      <w:pPr>
        <w:pStyle w:val="ListParagraph"/>
        <w:numPr>
          <w:ilvl w:val="0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A yes or no on Planning Center.</w:t>
      </w:r>
    </w:p>
    <w:p>
      <w:pPr>
        <w:pStyle w:val="ListParagraph"/>
        <w:numPr>
          <w:ilvl w:val="0"/>
          <w:numId w:val="2"/>
        </w:numPr>
        <w:spacing w:after="80" w:line="300"/>
      </w:pPr>
      <w:r>
        <w:rPr>
          <w:rFonts w:ascii="Calibri" w:cs="Calibri" w:eastAsia="Calibri" w:hAnsi="Calibri"/>
          <w:color w:val="111827"/>
          <w:sz w:val="22"/>
          <w:szCs w:val="22"/>
        </w:rPr>
        <w:t xml:space="preserve">Permission to proceed on the recommended path, or a stated alternate direction.</w:t>
      </w:r>
    </w:p>
    <w:p>
      <w:pPr>
        <w:spacing w:after="0" w:before="240" w:line="300"/>
      </w:pPr>
      <w:r>
        <w:rPr>
          <w:rFonts w:ascii="Calibri" w:cs="Calibri" w:eastAsia="Calibri" w:hAnsi="Calibri"/>
          <w:i/>
          <w:iCs/>
          <w:color w:val="4B5563"/>
          <w:sz w:val="22"/>
          <w:szCs w:val="22"/>
        </w:rPr>
        <w:t xml:space="preserve">Answering these four items unblocks everything else. Without them, nothing built now will be trusted by the people it is built for.</w:t>
      </w:r>
    </w:p>
    <w:sectPr>
      <w:footerReference w:type="default" r:id="rId7"/>
      <w:pgSz w:w="12240" w:h="15840" w:orient="portrait"/>
      <w:pgMar w:top="900" w:right="1080" w:bottom="90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4B5563"/>
        <w:sz w:val="16"/>
        <w:szCs w:val="16"/>
      </w:rPr>
      <w:t xml:space="preserve">For chair briefing  |  ECCI  |  September 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60"/>
      </w:pPr>
    </w:lvl>
    <w:lvl w:ilvl="1" w15:tentative="1">
      <w:start w:val="1"/>
      <w:numFmt w:val="bullet"/>
      <w:lvlText w:val="◦"/>
      <w:lvlJc w:val="left"/>
      <w:pPr>
        <w:ind w:left="720" w:hanging="2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2026-09-10T19:21:53.448Z</dcterms:created>
  <dcterms:modified xsi:type="dcterms:W3CDTF">2026-09-10T19:21:53.449Z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